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364F23DB" w:rsidR="009D686E" w:rsidRPr="006567AB" w:rsidRDefault="00AE50FC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2019-2020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77075505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8766BD">
        <w:rPr>
          <w:rFonts w:ascii="Arial" w:hAnsi="Arial" w:cs="Arial"/>
          <w:b/>
          <w:color w:val="FF0000"/>
          <w:sz w:val="20"/>
          <w:szCs w:val="18"/>
          <w:lang w:val="en-CA"/>
        </w:rPr>
        <w:t>14</w:t>
      </w:r>
      <w:r w:rsidR="008766BD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2020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is activated</w:t>
      </w:r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would then be submitted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151740AC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a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>ing is activated</w:t>
      </w:r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must be provided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2FE384" w:rsidR="000A7382" w:rsidRPr="00BA64CB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 w:rsidRPr="00BA64CB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</w:t>
      </w:r>
      <w:r w:rsidR="00BA64CB" w:rsidRPr="00BA64CB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conditions for </w:t>
      </w:r>
      <w:r w:rsid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residents</w:t>
      </w:r>
      <w:r w:rsidR="00BA64CB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: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Residents must</w:t>
      </w:r>
      <w:r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at least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2/3 of the time)</w:t>
      </w:r>
      <w:r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must be used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2E6773F8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BA64C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513F6B11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bookmarkStart w:id="0" w:name="_GoBack"/>
      <w:bookmarkEnd w:id="0"/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2A94BF02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is granted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, </w:t>
      </w:r>
      <w:r w:rsidR="00941658" w:rsidRPr="00437392">
        <w:rPr>
          <w:rFonts w:ascii="Arial" w:hAnsi="Arial" w:cs="Arial"/>
          <w:sz w:val="18"/>
          <w:szCs w:val="18"/>
          <w:lang w:val="en-CA"/>
        </w:rPr>
        <w:t>renewable once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 under submission of a progress report and </w:t>
      </w:r>
      <w:r w:rsidR="00437392">
        <w:rPr>
          <w:rFonts w:ascii="Arial" w:hAnsi="Arial" w:cs="Arial"/>
          <w:sz w:val="18"/>
          <w:szCs w:val="18"/>
          <w:lang w:val="en-CA"/>
        </w:rPr>
        <w:t xml:space="preserve">if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project </w:t>
      </w:r>
      <w:r w:rsidR="00941658" w:rsidRPr="00941658">
        <w:rPr>
          <w:rFonts w:ascii="Arial" w:hAnsi="Arial" w:cs="Arial"/>
          <w:sz w:val="18"/>
          <w:szCs w:val="18"/>
          <w:lang w:val="en-CA"/>
        </w:rPr>
        <w:t>has not yet been funded by another organization.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r w:rsidRPr="00941658">
        <w:rPr>
          <w:rFonts w:ascii="Arial" w:hAnsi="Arial" w:cs="Arial"/>
          <w:sz w:val="18"/>
          <w:szCs w:val="18"/>
          <w:lang w:val="en-CA"/>
        </w:rPr>
        <w:t>will be held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>This grant may be used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to: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leverage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one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will be integrally used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submitted by </w:t>
      </w:r>
      <w:r>
        <w:rPr>
          <w:rFonts w:ascii="Arial" w:hAnsi="Arial" w:cs="Arial"/>
          <w:b/>
          <w:sz w:val="18"/>
          <w:szCs w:val="18"/>
          <w:lang w:val="en-CA"/>
        </w:rPr>
        <w:t>June 1</w:t>
      </w:r>
      <w:r w:rsidRPr="00BA64CB">
        <w:rPr>
          <w:rFonts w:ascii="Arial" w:hAnsi="Arial" w:cs="Arial"/>
          <w:b/>
          <w:sz w:val="18"/>
          <w:szCs w:val="18"/>
          <w:vertAlign w:val="superscript"/>
          <w:lang w:val="en-CA"/>
        </w:rPr>
        <w:t>st</w:t>
      </w:r>
      <w:r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BA38E7">
        <w:rPr>
          <w:rFonts w:ascii="Arial" w:hAnsi="Arial" w:cs="Arial"/>
          <w:sz w:val="18"/>
          <w:szCs w:val="18"/>
          <w:lang w:val="en-CA"/>
        </w:rPr>
        <w:t>of the</w:t>
      </w:r>
      <w:r>
        <w:rPr>
          <w:rFonts w:ascii="Arial" w:hAnsi="Arial" w:cs="Arial"/>
          <w:sz w:val="18"/>
          <w:szCs w:val="18"/>
          <w:lang w:val="en-CA"/>
        </w:rPr>
        <w:t xml:space="preserve"> next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 fiscal year following the grant year. 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>amounts will have to be returned</w:t>
      </w:r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19BB643" w14:textId="48300DA1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552DB1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must be submitted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28A363E9" w:rsidR="00C262A6" w:rsidRDefault="00552DB1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357C95DA" w:rsidR="00C262A6" w:rsidRPr="00C262A6" w:rsidRDefault="00C262A6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 xml:space="preserve">Common CVs of </w:t>
      </w:r>
      <w:r>
        <w:rPr>
          <w:rFonts w:ascii="Arial" w:hAnsi="Arial" w:cs="Arial"/>
          <w:sz w:val="18"/>
          <w:szCs w:val="18"/>
          <w:lang w:val="en-CA"/>
        </w:rPr>
        <w:t>the candidate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>
        <w:rPr>
          <w:rFonts w:ascii="Arial" w:hAnsi="Arial" w:cs="Arial"/>
          <w:sz w:val="18"/>
          <w:szCs w:val="18"/>
          <w:lang w:val="en-CA"/>
        </w:rPr>
        <w:t xml:space="preserve"> format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>
        <w:rPr>
          <w:rFonts w:ascii="Arial" w:hAnsi="Arial" w:cs="Arial"/>
          <w:sz w:val="18"/>
          <w:szCs w:val="18"/>
          <w:lang w:val="en-CA"/>
        </w:rPr>
        <w:t>including d</w:t>
      </w:r>
      <w:r w:rsidR="00CE07DD">
        <w:rPr>
          <w:rFonts w:ascii="Arial" w:hAnsi="Arial" w:cs="Arial"/>
          <w:sz w:val="18"/>
          <w:szCs w:val="18"/>
          <w:lang w:val="en-CA"/>
        </w:rPr>
        <w:t>etailed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contributions.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>A resume containing 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will also be allowed.</w:t>
      </w:r>
    </w:p>
    <w:p w14:paraId="5CCB16A9" w14:textId="629DF00D" w:rsidR="00C262A6" w:rsidRPr="00C262A6" w:rsidRDefault="00C262A6" w:rsidP="00A75ABC">
      <w:pPr>
        <w:keepNext/>
        <w:keepLines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627AE482" w:rsidR="001028C5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(2/3 of the time)</w:t>
      </w:r>
    </w:p>
    <w:p w14:paraId="584AFF05" w14:textId="404D9DD8" w:rsidR="00C262A6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ctoral fellows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4410D0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77777777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F39F" w14:textId="76CFFD64" w:rsidR="003568CF" w:rsidRDefault="003568CF" w:rsidP="003568C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</w:p>
    <w:p w14:paraId="67DDFAAB" w14:textId="6B939521" w:rsidR="003568CF" w:rsidRPr="000D0798" w:rsidRDefault="0051389E" w:rsidP="003568C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EARLY-CAREER</w:t>
      </w:r>
      <w:r w:rsidR="003568CF"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="003568CF"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2019-2020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14C63DC2" w:rsidR="003568CF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69F9B441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February 1</w:t>
      </w:r>
      <w:r w:rsidR="0051389E">
        <w:rPr>
          <w:rFonts w:ascii="Arial" w:hAnsi="Arial" w:cs="Arial"/>
          <w:b/>
          <w:color w:val="FF0000"/>
          <w:sz w:val="20"/>
          <w:szCs w:val="18"/>
          <w:lang w:val="en-CA"/>
        </w:rPr>
        <w:t>4</w:t>
      </w:r>
      <w:r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2020*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4410D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4410D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4410D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 / 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4410D0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4410D0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 Trainee</w:t>
            </w:r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futur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if knowned</w:t>
            </w:r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4410D0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 Trainee</w:t>
            </w:r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4410D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4410D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4410D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4410D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4410D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4410D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4410D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4410D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yes</w:t>
      </w:r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1AEE7B33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ADMINISTRATIVE INFORMATION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must be sent: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73131AE1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title</w:t>
      </w:r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023139">
        <w:rPr>
          <w:rFonts w:ascii="Arial" w:hAnsi="Arial" w:cs="Arial"/>
          <w:sz w:val="20"/>
          <w:szCs w:val="20"/>
          <w:lang w:val="en-CA"/>
        </w:rPr>
        <w:t>2</w:t>
      </w:r>
      <w:r w:rsidR="00EF3504" w:rsidRPr="00023139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023139">
        <w:rPr>
          <w:rFonts w:ascii="Arial" w:hAnsi="Arial" w:cs="Arial"/>
          <w:sz w:val="20"/>
          <w:szCs w:val="20"/>
          <w:lang w:val="en-CA"/>
        </w:rPr>
        <w:t>page</w:t>
      </w:r>
      <w:r w:rsidR="00E11502" w:rsidRPr="00023139">
        <w:rPr>
          <w:rFonts w:ascii="Arial" w:hAnsi="Arial" w:cs="Arial"/>
          <w:sz w:val="20"/>
          <w:szCs w:val="20"/>
          <w:lang w:val="en-CA"/>
        </w:rPr>
        <w:t>s</w:t>
      </w:r>
      <w:r w:rsidR="00023139" w:rsidRPr="00023139">
        <w:rPr>
          <w:rFonts w:ascii="Arial" w:hAnsi="Arial" w:cs="Arial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023139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Trainee</w:t>
      </w:r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>
        <w:rPr>
          <w:rFonts w:ascii="Arial" w:hAnsi="Arial" w:cs="Arial"/>
          <w:sz w:val="20"/>
          <w:szCs w:val="20"/>
          <w:lang w:val="en-CA"/>
        </w:rPr>
        <w:t>1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</w:t>
      </w:r>
      <w:r w:rsidR="0029221E">
        <w:rPr>
          <w:rFonts w:ascii="Arial" w:hAnsi="Arial" w:cs="Arial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>An appendix of a maximum of 2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12FC5DA7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>Describe the problem, the objectives, the methodology, he preliminary results and the relevance or impact of the project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6DCCFBF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 AND 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(maximum 1 page)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0052797E" w:rsidR="00FE3585" w:rsidRPr="00C42271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16"/>
      <w:footerReference w:type="default" r:id="rId17"/>
      <w:headerReference w:type="first" r:id="rId18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1ECF012B" w:rsidR="00092A16" w:rsidRPr="00564D15" w:rsidRDefault="0051389E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 xml:space="preserve">December </w:t>
    </w:r>
    <w:r w:rsidR="003568CF">
      <w:rPr>
        <w:rFonts w:ascii="Arial" w:hAnsi="Arial" w:cs="Arial"/>
        <w:i/>
        <w:sz w:val="18"/>
        <w:szCs w:val="18"/>
        <w:lang w:val="fr-CA"/>
      </w:rPr>
      <w:t>2019 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>or equivalent</w:t>
    </w:r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1A991BDD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0D0798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        </w:t>
    </w:r>
    <w:r w:rsidR="000D0798">
      <w:rPr>
        <w:rFonts w:ascii="Arial" w:hAnsi="Arial" w:cs="Arial"/>
        <w:sz w:val="18"/>
        <w:szCs w:val="20"/>
        <w:lang w:val="en-CA"/>
      </w:rPr>
      <w:t xml:space="preserve">                   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   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4410D0">
      <w:rPr>
        <w:rFonts w:ascii="Arial" w:hAnsi="Arial" w:cs="Arial"/>
        <w:noProof/>
        <w:sz w:val="18"/>
        <w:szCs w:val="20"/>
        <w:lang w:val="en-CA"/>
      </w:rPr>
      <w:t>2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4410D0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22"/>
  </w:num>
  <w:num w:numId="5">
    <w:abstractNumId w:val="25"/>
  </w:num>
  <w:num w:numId="6">
    <w:abstractNumId w:val="26"/>
  </w:num>
  <w:num w:numId="7">
    <w:abstractNumId w:val="13"/>
  </w:num>
  <w:num w:numId="8">
    <w:abstractNumId w:val="32"/>
  </w:num>
  <w:num w:numId="9">
    <w:abstractNumId w:val="3"/>
  </w:num>
  <w:num w:numId="10">
    <w:abstractNumId w:val="30"/>
  </w:num>
  <w:num w:numId="11">
    <w:abstractNumId w:val="39"/>
  </w:num>
  <w:num w:numId="12">
    <w:abstractNumId w:val="36"/>
  </w:num>
  <w:num w:numId="13">
    <w:abstractNumId w:val="14"/>
  </w:num>
  <w:num w:numId="14">
    <w:abstractNumId w:val="33"/>
  </w:num>
  <w:num w:numId="15">
    <w:abstractNumId w:val="34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6"/>
  </w:num>
  <w:num w:numId="24">
    <w:abstractNumId w:val="37"/>
  </w:num>
  <w:num w:numId="25">
    <w:abstractNumId w:val="7"/>
  </w:num>
  <w:num w:numId="26">
    <w:abstractNumId w:val="24"/>
  </w:num>
  <w:num w:numId="27">
    <w:abstractNumId w:val="2"/>
  </w:num>
  <w:num w:numId="28">
    <w:abstractNumId w:val="35"/>
  </w:num>
  <w:num w:numId="29">
    <w:abstractNumId w:val="19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11"/>
  </w:num>
  <w:num w:numId="36">
    <w:abstractNumId w:val="29"/>
  </w:num>
  <w:num w:numId="37">
    <w:abstractNumId w:val="1"/>
  </w:num>
  <w:num w:numId="38">
    <w:abstractNumId w:val="28"/>
  </w:num>
  <w:num w:numId="39">
    <w:abstractNumId w:val="23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3406"/>
    <w:rsid w:val="005242A9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616F"/>
    <w:rsid w:val="00C80749"/>
    <w:rsid w:val="00C8560C"/>
    <w:rsid w:val="00C922DD"/>
    <w:rsid w:val="00C9279B"/>
    <w:rsid w:val="00C96464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2D0D"/>
    <w:rsid w:val="00ED2F24"/>
    <w:rsid w:val="00ED3558"/>
    <w:rsid w:val="00ED5063"/>
    <w:rsid w:val="00EE2E90"/>
    <w:rsid w:val="00EF3504"/>
    <w:rsid w:val="00EF581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7092"/>
    <w:rsid w:val="00F72437"/>
    <w:rsid w:val="00F724EF"/>
    <w:rsid w:val="00F728E6"/>
    <w:rsid w:val="00F76D10"/>
    <w:rsid w:val="00F813E9"/>
    <w:rsid w:val="00F8428A"/>
    <w:rsid w:val="00F90DDE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valuation%20Grid%203_Early-carrer%20(between%202%20and%205%20years)_PDF%20Version_December%20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4834-376B-4391-A780-15C2F72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1518</Words>
  <Characters>9423</Characters>
  <Application>Microsoft Office Word</Application>
  <DocSecurity>0</DocSecurity>
  <Lines>336</Lines>
  <Paragraphs>163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10778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3</cp:revision>
  <cp:lastPrinted>2019-11-27T20:52:00Z</cp:lastPrinted>
  <dcterms:created xsi:type="dcterms:W3CDTF">2019-12-12T17:57:00Z</dcterms:created>
  <dcterms:modified xsi:type="dcterms:W3CDTF">2019-12-12T17:59:00Z</dcterms:modified>
</cp:coreProperties>
</file>